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6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225" w:afterAutospacing="0" w:line="27" w:lineRule="atLeast"/>
        <w:ind w:left="0" w:right="0" w:firstLine="0"/>
        <w:jc w:val="both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70707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70707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附件</w:t>
      </w:r>
      <w:bookmarkStart w:id="0" w:name="_GoBack"/>
      <w:bookmarkEnd w:id="0"/>
    </w:p>
    <w:p w14:paraId="252E38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225" w:afterAutospacing="0" w:line="27" w:lineRule="atLeast"/>
        <w:ind w:left="0" w:right="0" w:firstLine="0"/>
        <w:jc w:val="both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70707"/>
          <w:spacing w:val="0"/>
          <w:sz w:val="24"/>
          <w:szCs w:val="24"/>
          <w:highlight w:val="none"/>
          <w:u w:val="none"/>
          <w:shd w:val="clear" w:fill="FFFFFF"/>
          <w:lang w:eastAsia="zh-CN"/>
        </w:rPr>
      </w:pPr>
    </w:p>
    <w:p w14:paraId="19F968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fill="FFFFFF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年第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季度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天津市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电信业务经营不良名单和失信名单列入移出企业信息</w:t>
      </w:r>
    </w:p>
    <w:p w14:paraId="0E325E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225" w:afterAutospacing="0" w:line="27" w:lineRule="atLeast"/>
        <w:ind w:left="0" w:right="0" w:firstLine="0"/>
        <w:jc w:val="center"/>
        <w:rPr>
          <w:rStyle w:val="5"/>
          <w:rFonts w:ascii="宋体" w:hAnsi="宋体" w:eastAsia="宋体" w:cs="宋体"/>
          <w:b/>
          <w:bCs/>
          <w:i w:val="0"/>
          <w:iCs w:val="0"/>
          <w:caps w:val="0"/>
          <w:color w:val="070707"/>
          <w:spacing w:val="0"/>
          <w:sz w:val="24"/>
          <w:szCs w:val="24"/>
          <w:highlight w:val="none"/>
          <w:u w:val="none"/>
          <w:shd w:val="clear" w:fill="FFFFFF"/>
        </w:rPr>
      </w:pPr>
    </w:p>
    <w:tbl>
      <w:tblPr>
        <w:tblStyle w:val="3"/>
        <w:tblW w:w="1077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2295"/>
        <w:gridCol w:w="1516"/>
        <w:gridCol w:w="1430"/>
        <w:gridCol w:w="828"/>
        <w:gridCol w:w="2232"/>
        <w:gridCol w:w="1303"/>
      </w:tblGrid>
      <w:tr w14:paraId="42EE6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12ED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8CD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B8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065A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不良名单/失信名单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9A12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列入/移出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A581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列入/移出事由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32DE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日期</w:t>
            </w:r>
          </w:p>
        </w:tc>
      </w:tr>
      <w:tr w14:paraId="34B5D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B03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天津玲仁科技发展有限公司</w:t>
            </w:r>
          </w:p>
          <w:p w14:paraId="1CFDAA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ED5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91120104061209895G</w:t>
            </w:r>
          </w:p>
          <w:p w14:paraId="7A001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8F3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B2-20191272</w:t>
            </w:r>
          </w:p>
          <w:p w14:paraId="2F665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3BD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  <w:t>不良名单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DB37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  <w:t>列入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8B7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在电信管理机构监督检查中，被发现其年报信息、日常经营活动、落实网络与信息安全管理责任、停止经营时的善后工作、执行国家和电信管理机构有关规定等事项存在违法违规行为，受到行政处罚的（需直接列入电信业务经营失信名单的除外）</w:t>
            </w:r>
          </w:p>
          <w:p w14:paraId="0A77B5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325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2025-09-23</w:t>
            </w:r>
          </w:p>
          <w:p w14:paraId="424B9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</w:tr>
      <w:tr w14:paraId="69E06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068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天津路义通科技有限公司</w:t>
            </w:r>
          </w:p>
          <w:p w14:paraId="69338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D04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91120222MA05Y4YW6P</w:t>
            </w:r>
          </w:p>
          <w:p w14:paraId="5DD1F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B16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B2-20181905</w:t>
            </w:r>
          </w:p>
          <w:p w14:paraId="29B0E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E1D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  <w:t>不良名单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FF9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  <w:t>移出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1CD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因行政处罚列入不良名单，相关经营者一年内未再次受到行政处罚的</w:t>
            </w:r>
          </w:p>
          <w:p w14:paraId="32A69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974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CFA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2025-07-14</w:t>
            </w:r>
          </w:p>
          <w:p w14:paraId="3A7C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659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59D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先进计算（天津）信息技术有限公司</w:t>
            </w:r>
          </w:p>
          <w:p w14:paraId="2927F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F0A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91110114MACJYB765X</w:t>
            </w:r>
          </w:p>
          <w:p w14:paraId="488B9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507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津B2-20240886</w:t>
            </w:r>
          </w:p>
          <w:p w14:paraId="14563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076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  <w:t>不良名单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4EC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" w:eastAsia="zh-CN" w:bidi="ar"/>
              </w:rPr>
              <w:t>移出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E3D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因行政处罚列入不良名单，相关经营者一年内未再次受到行政处罚的</w:t>
            </w:r>
          </w:p>
          <w:p w14:paraId="471C0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590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BDD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2025-09-10</w:t>
            </w:r>
          </w:p>
          <w:p w14:paraId="08E18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3788D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5D5F"/>
    <w:rsid w:val="2BE4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2025-10-21T01:37:00Z</dcterms:created>
  <dc:creator>于俊奎</dc:creator>
  <cp:lastModifiedBy>于俊奎</cp:lastModifiedBy>
  <dcterms:modified xsi:type="dcterms:W3CDTF">2025-10-21T01:38:09Z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748B105D03DF48188B99FA201C59DCFA_11</vt:lpwstr>
  </property>
  <property fmtid="{D5CDD505-2E9C-101B-9397-08002B2CF9AE}" pid="4" name="KSOTemplateDocerSaveRecord">
    <vt:lpwstr>eyJoZGlkIjoiY2JiZjg1MTdmMDdkZGU2NzliNTEyM2YyNGEzYmY5MTkiLCJ1c2VySWQiOiI1MDg0OTQ3NDMifQ==</vt:lpwstr>
  </property>
</Properties>
</file>